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14770" w14:textId="77777777" w:rsidR="006D61B3" w:rsidRDefault="004C65E8">
      <w:pPr>
        <w:pStyle w:val="aa"/>
        <w:rPr>
          <w:lang w:eastAsia="zh-TW"/>
        </w:rPr>
      </w:pPr>
      <w:r>
        <w:rPr>
          <w:rFonts w:ascii="標楷體" w:eastAsia="標楷體" w:hAnsi="標楷體"/>
          <w:lang w:eastAsia="zh-TW"/>
        </w:rPr>
        <w:t>專題寫作組題目</w:t>
      </w:r>
    </w:p>
    <w:p w14:paraId="024E715A" w14:textId="77777777" w:rsidR="006D61B3" w:rsidRDefault="006D61B3">
      <w:pPr>
        <w:rPr>
          <w:lang w:eastAsia="zh-TW"/>
        </w:rPr>
      </w:pPr>
    </w:p>
    <w:p w14:paraId="165F3F1F" w14:textId="77777777" w:rsidR="006D61B3" w:rsidRDefault="004C65E8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一、桃園市自</w:t>
      </w:r>
      <w:r>
        <w:rPr>
          <w:rFonts w:ascii="標楷體" w:eastAsia="標楷體" w:hAnsi="標楷體" w:hint="eastAsia"/>
          <w:lang w:eastAsia="zh-TW"/>
        </w:rPr>
        <w:t>114</w:t>
      </w:r>
      <w:r>
        <w:rPr>
          <w:rFonts w:ascii="標楷體" w:eastAsia="標楷體" w:hAnsi="標楷體" w:hint="eastAsia"/>
          <w:lang w:eastAsia="zh-TW"/>
        </w:rPr>
        <w:t>學年度起實施校園手機管理方案，各校對於學生手機的管理方式仍有不同做法，各有支持與反對意見。請你蒐集相關資料，分析不同管理方式的優缺點，並建議應採取何種管理方式最為理想？你的理由為何？</w:t>
      </w:r>
    </w:p>
    <w:p w14:paraId="5F054F4B" w14:textId="77777777" w:rsidR="006D61B3" w:rsidRDefault="004C65E8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說明：目前各校常見的手機管理方式，由寬到嚴約可分為</w:t>
      </w:r>
      <w:r>
        <w:rPr>
          <w:rFonts w:ascii="標楷體" w:eastAsia="標楷體" w:hAnsi="標楷體" w:hint="eastAsia"/>
          <w:lang w:eastAsia="zh-TW"/>
        </w:rPr>
        <w:t>4</w:t>
      </w:r>
      <w:r>
        <w:rPr>
          <w:rFonts w:ascii="標楷體" w:eastAsia="標楷體" w:hAnsi="標楷體" w:hint="eastAsia"/>
          <w:lang w:eastAsia="zh-TW"/>
        </w:rPr>
        <w:t>種：①學生自主管理，教師視情況勸導；②僅上課時間收存，下課及午休開放使用；③到校即統一收存，僅開放特定時段（如午休）領用；④到校即統一收存，放學才發還，在校期間一律不得使用。請你蒐集資料並分析，從教學品質、學生自律能力培養、緊急聯繫需求、網路霸凌與手機成癮防範等面向切入，建議何種方式最為理想？</w:t>
      </w:r>
    </w:p>
    <w:p w14:paraId="69BFE894" w14:textId="77777777" w:rsidR="006D61B3" w:rsidRDefault="006D61B3">
      <w:pPr>
        <w:rPr>
          <w:lang w:eastAsia="zh-TW"/>
        </w:rPr>
      </w:pPr>
    </w:p>
    <w:p w14:paraId="024A6B08" w14:textId="77777777" w:rsidR="006D61B3" w:rsidRDefault="004C65E8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二、比賽方式：個人競賽（國中組、國小組）。</w:t>
      </w:r>
    </w:p>
    <w:p w14:paraId="7BF8CFA5" w14:textId="77777777" w:rsidR="006D61B3" w:rsidRDefault="006D61B3">
      <w:pPr>
        <w:rPr>
          <w:lang w:eastAsia="zh-TW"/>
        </w:rPr>
      </w:pPr>
    </w:p>
    <w:p w14:paraId="1342E090" w14:textId="40C9EA56" w:rsidR="006D61B3" w:rsidRDefault="004C65E8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三、使用軟體：</w:t>
      </w:r>
      <w:r>
        <w:rPr>
          <w:rFonts w:ascii="標楷體" w:eastAsia="標楷體" w:hAnsi="標楷體" w:hint="eastAsia"/>
          <w:lang w:eastAsia="zh-TW"/>
        </w:rPr>
        <w:t>利用</w:t>
      </w:r>
      <w:r>
        <w:rPr>
          <w:rFonts w:ascii="標楷體" w:eastAsia="標楷體" w:hAnsi="標楷體" w:hint="eastAsia"/>
          <w:lang w:eastAsia="zh-TW"/>
        </w:rPr>
        <w:t>Windows</w:t>
      </w:r>
      <w:r>
        <w:rPr>
          <w:rFonts w:ascii="標楷體" w:eastAsia="標楷體" w:hAnsi="標楷體" w:hint="eastAsia"/>
          <w:lang w:eastAsia="zh-TW"/>
        </w:rPr>
        <w:t>作業系統安裝之文書處理軟體，版本不限</w:t>
      </w:r>
      <w:r>
        <w:rPr>
          <w:rFonts w:ascii="標楷體" w:eastAsia="標楷體" w:hAnsi="標楷體" w:hint="eastAsia"/>
          <w:lang w:eastAsia="zh-TW"/>
        </w:rPr>
        <w:t>。</w:t>
      </w:r>
    </w:p>
    <w:p w14:paraId="07ADA2D9" w14:textId="77777777" w:rsidR="006D61B3" w:rsidRDefault="006D61B3">
      <w:pPr>
        <w:rPr>
          <w:lang w:eastAsia="zh-TW"/>
        </w:rPr>
      </w:pPr>
    </w:p>
    <w:p w14:paraId="2B4D0A97" w14:textId="48D570D1" w:rsidR="006D61B3" w:rsidRDefault="004C65E8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四、作答與繳交規定：不限字數，每題以</w:t>
      </w:r>
      <w:r>
        <w:rPr>
          <w:rFonts w:ascii="標楷體" w:eastAsia="標楷體" w:hAnsi="標楷體" w:hint="eastAsia"/>
          <w:lang w:eastAsia="zh-TW"/>
        </w:rPr>
        <w:t>A4</w:t>
      </w:r>
      <w:r>
        <w:rPr>
          <w:rFonts w:ascii="標楷體" w:eastAsia="標楷體" w:hAnsi="標楷體" w:hint="eastAsia"/>
          <w:lang w:eastAsia="zh-TW"/>
        </w:rPr>
        <w:t>大小、二頁為限，字體大小不得小於</w:t>
      </w:r>
      <w:r>
        <w:rPr>
          <w:rFonts w:ascii="標楷體" w:eastAsia="標楷體" w:hAnsi="標楷體" w:hint="eastAsia"/>
          <w:lang w:eastAsia="zh-TW"/>
        </w:rPr>
        <w:t>12</w:t>
      </w:r>
      <w:r>
        <w:rPr>
          <w:rFonts w:ascii="標楷體" w:eastAsia="標楷體" w:hAnsi="標楷體" w:hint="eastAsia"/>
          <w:lang w:eastAsia="zh-TW"/>
        </w:rPr>
        <w:t>號字，可直式或橫式編排，並可插入自製圖表輔助說明；作答時應將題目完整列出。</w:t>
      </w:r>
      <w:r>
        <w:rPr>
          <w:rFonts w:ascii="標楷體" w:eastAsia="標楷體" w:hAnsi="標楷體" w:hint="eastAsia"/>
          <w:lang w:eastAsia="zh-TW"/>
        </w:rPr>
        <w:t>作品請存成</w:t>
      </w:r>
      <w:r>
        <w:rPr>
          <w:rFonts w:ascii="標楷體" w:eastAsia="標楷體" w:hAnsi="標楷體" w:hint="eastAsia"/>
          <w:lang w:eastAsia="zh-TW"/>
        </w:rPr>
        <w:t>PDF</w:t>
      </w:r>
      <w:r>
        <w:rPr>
          <w:rFonts w:ascii="標楷體" w:eastAsia="標楷體" w:hAnsi="標楷體" w:hint="eastAsia"/>
          <w:lang w:eastAsia="zh-TW"/>
        </w:rPr>
        <w:t>檔以便評審開啟，完成後利用瀏覽器逕行傳送檔案至競賽網站。</w:t>
      </w:r>
      <w:r w:rsidRPr="004C65E8">
        <w:rPr>
          <w:rFonts w:ascii="標楷體" w:eastAsia="標楷體" w:hAnsi="標楷體"/>
          <w:lang w:eastAsia="zh-TW"/>
        </w:rPr>
        <w:t>https://forms.gle/qmq6BEgvVCGzfw5M9</w:t>
      </w:r>
    </w:p>
    <w:p w14:paraId="459C1FB1" w14:textId="77777777" w:rsidR="006D61B3" w:rsidRPr="004C65E8" w:rsidRDefault="006D61B3">
      <w:pPr>
        <w:rPr>
          <w:lang w:eastAsia="zh-TW"/>
        </w:rPr>
      </w:pPr>
    </w:p>
    <w:p w14:paraId="1178A52B" w14:textId="77777777" w:rsidR="006D61B3" w:rsidRDefault="004C65E8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五、評審標準：</w:t>
      </w:r>
      <w:r>
        <w:rPr>
          <w:rFonts w:ascii="標楷體" w:eastAsia="標楷體" w:hAnsi="標楷體" w:hint="eastAsia"/>
          <w:lang w:eastAsia="zh-TW"/>
        </w:rPr>
        <w:t xml:space="preserve"> </w:t>
      </w:r>
    </w:p>
    <w:p w14:paraId="5C650A42" w14:textId="77777777" w:rsidR="006D61B3" w:rsidRDefault="004C65E8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(</w:t>
      </w:r>
      <w:r>
        <w:rPr>
          <w:rFonts w:ascii="標楷體" w:eastAsia="標楷體" w:hAnsi="標楷體" w:hint="eastAsia"/>
          <w:lang w:eastAsia="zh-TW"/>
        </w:rPr>
        <w:t>一</w:t>
      </w:r>
      <w:r>
        <w:rPr>
          <w:rFonts w:ascii="標楷體" w:eastAsia="標楷體" w:hAnsi="標楷體" w:hint="eastAsia"/>
          <w:lang w:eastAsia="zh-TW"/>
        </w:rPr>
        <w:t>)</w:t>
      </w:r>
      <w:r>
        <w:rPr>
          <w:rFonts w:ascii="標楷體" w:eastAsia="標楷體" w:hAnsi="標楷體" w:hint="eastAsia"/>
          <w:lang w:eastAsia="zh-TW"/>
        </w:rPr>
        <w:t>、主題及內容理解</w:t>
      </w:r>
      <w:r>
        <w:rPr>
          <w:rFonts w:ascii="標楷體" w:eastAsia="標楷體" w:hAnsi="標楷體" w:hint="eastAsia"/>
          <w:lang w:eastAsia="zh-TW"/>
        </w:rPr>
        <w:t>(20%):</w:t>
      </w:r>
      <w:r>
        <w:rPr>
          <w:rFonts w:ascii="標楷體" w:eastAsia="標楷體" w:hAnsi="標楷體" w:hint="eastAsia"/>
          <w:lang w:eastAsia="zh-TW"/>
        </w:rPr>
        <w:t>對題目的理解，及重要性論述。</w:t>
      </w:r>
      <w:r>
        <w:rPr>
          <w:rFonts w:ascii="標楷體" w:eastAsia="標楷體" w:hAnsi="標楷體" w:hint="eastAsia"/>
          <w:lang w:eastAsia="zh-TW"/>
        </w:rPr>
        <w:t xml:space="preserve"> </w:t>
      </w:r>
    </w:p>
    <w:p w14:paraId="2B476330" w14:textId="77777777" w:rsidR="006D61B3" w:rsidRDefault="004C65E8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(</w:t>
      </w:r>
      <w:r>
        <w:rPr>
          <w:rFonts w:ascii="標楷體" w:eastAsia="標楷體" w:hAnsi="標楷體" w:hint="eastAsia"/>
          <w:lang w:eastAsia="zh-TW"/>
        </w:rPr>
        <w:t>二</w:t>
      </w:r>
      <w:r>
        <w:rPr>
          <w:rFonts w:ascii="標楷體" w:eastAsia="標楷體" w:hAnsi="標楷體" w:hint="eastAsia"/>
          <w:lang w:eastAsia="zh-TW"/>
        </w:rPr>
        <w:t>)</w:t>
      </w:r>
      <w:r>
        <w:rPr>
          <w:rFonts w:ascii="標楷體" w:eastAsia="標楷體" w:hAnsi="標楷體" w:hint="eastAsia"/>
          <w:lang w:eastAsia="zh-TW"/>
        </w:rPr>
        <w:t>、資料搜尋與分析</w:t>
      </w:r>
      <w:r>
        <w:rPr>
          <w:rFonts w:ascii="標楷體" w:eastAsia="標楷體" w:hAnsi="標楷體" w:hint="eastAsia"/>
          <w:lang w:eastAsia="zh-TW"/>
        </w:rPr>
        <w:t>(30%):</w:t>
      </w:r>
      <w:r>
        <w:rPr>
          <w:rFonts w:ascii="標楷體" w:eastAsia="標楷體" w:hAnsi="標楷體" w:hint="eastAsia"/>
          <w:lang w:eastAsia="zh-TW"/>
        </w:rPr>
        <w:t>系統性的敘述、組織、分析資料或數據。</w:t>
      </w:r>
      <w:r>
        <w:rPr>
          <w:rFonts w:ascii="標楷體" w:eastAsia="標楷體" w:hAnsi="標楷體" w:hint="eastAsia"/>
          <w:lang w:eastAsia="zh-TW"/>
        </w:rPr>
        <w:t xml:space="preserve"> </w:t>
      </w:r>
    </w:p>
    <w:p w14:paraId="6CB500C7" w14:textId="77777777" w:rsidR="006D61B3" w:rsidRDefault="004C65E8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(</w:t>
      </w:r>
      <w:r>
        <w:rPr>
          <w:rFonts w:ascii="標楷體" w:eastAsia="標楷體" w:hAnsi="標楷體" w:hint="eastAsia"/>
          <w:lang w:eastAsia="zh-TW"/>
        </w:rPr>
        <w:t>三</w:t>
      </w:r>
      <w:r>
        <w:rPr>
          <w:rFonts w:ascii="標楷體" w:eastAsia="標楷體" w:hAnsi="標楷體" w:hint="eastAsia"/>
          <w:lang w:eastAsia="zh-TW"/>
        </w:rPr>
        <w:t>)</w:t>
      </w:r>
      <w:r>
        <w:rPr>
          <w:rFonts w:ascii="標楷體" w:eastAsia="標楷體" w:hAnsi="標楷體" w:hint="eastAsia"/>
          <w:lang w:eastAsia="zh-TW"/>
        </w:rPr>
        <w:t>、格式編排與資料引註</w:t>
      </w:r>
      <w:r>
        <w:rPr>
          <w:rFonts w:ascii="標楷體" w:eastAsia="標楷體" w:hAnsi="標楷體" w:hint="eastAsia"/>
          <w:lang w:eastAsia="zh-TW"/>
        </w:rPr>
        <w:t>(20%):</w:t>
      </w:r>
      <w:r>
        <w:rPr>
          <w:rFonts w:ascii="標楷體" w:eastAsia="標楷體" w:hAnsi="標楷體" w:hint="eastAsia"/>
          <w:lang w:eastAsia="zh-TW"/>
        </w:rPr>
        <w:t>引用正確且相關的</w:t>
      </w:r>
      <w:r>
        <w:rPr>
          <w:rFonts w:ascii="標楷體" w:eastAsia="標楷體" w:hAnsi="標楷體" w:hint="eastAsia"/>
          <w:lang w:eastAsia="zh-TW"/>
        </w:rPr>
        <w:t>資訊，並註明出處。</w:t>
      </w:r>
      <w:r>
        <w:rPr>
          <w:rFonts w:ascii="標楷體" w:eastAsia="標楷體" w:hAnsi="標楷體" w:hint="eastAsia"/>
          <w:lang w:eastAsia="zh-TW"/>
        </w:rPr>
        <w:t xml:space="preserve"> </w:t>
      </w:r>
    </w:p>
    <w:p w14:paraId="76EBB20C" w14:textId="77777777" w:rsidR="006D61B3" w:rsidRDefault="004C65E8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(</w:t>
      </w:r>
      <w:r>
        <w:rPr>
          <w:rFonts w:ascii="標楷體" w:eastAsia="標楷體" w:hAnsi="標楷體" w:hint="eastAsia"/>
          <w:lang w:eastAsia="zh-TW"/>
        </w:rPr>
        <w:t>四</w:t>
      </w:r>
      <w:r>
        <w:rPr>
          <w:rFonts w:ascii="標楷體" w:eastAsia="標楷體" w:hAnsi="標楷體" w:hint="eastAsia"/>
          <w:lang w:eastAsia="zh-TW"/>
        </w:rPr>
        <w:t>)</w:t>
      </w:r>
      <w:r>
        <w:rPr>
          <w:rFonts w:ascii="標楷體" w:eastAsia="標楷體" w:hAnsi="標楷體" w:hint="eastAsia"/>
          <w:lang w:eastAsia="zh-TW"/>
        </w:rPr>
        <w:t>、個人論點及看法</w:t>
      </w:r>
      <w:r>
        <w:rPr>
          <w:rFonts w:ascii="標楷體" w:eastAsia="標楷體" w:hAnsi="標楷體" w:hint="eastAsia"/>
          <w:lang w:eastAsia="zh-TW"/>
        </w:rPr>
        <w:t>(30%):</w:t>
      </w:r>
      <w:r>
        <w:rPr>
          <w:rFonts w:ascii="標楷體" w:eastAsia="標楷體" w:hAnsi="標楷體" w:hint="eastAsia"/>
          <w:lang w:eastAsia="zh-TW"/>
        </w:rPr>
        <w:t>表達觀點或立場、並透過不同角度來回應或提出證據來支持論點。</w:t>
      </w:r>
    </w:p>
    <w:p w14:paraId="4B1A7BF5" w14:textId="77777777" w:rsidR="006D61B3" w:rsidRDefault="006D61B3">
      <w:pPr>
        <w:rPr>
          <w:lang w:eastAsia="zh-TW"/>
        </w:rPr>
      </w:pPr>
    </w:p>
    <w:sectPr w:rsidR="006D61B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65E8"/>
    <w:rsid w:val="006D61B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649BF0"/>
  <w14:defaultImageDpi w14:val="300"/>
  <w15:docId w15:val="{2535BB4C-D31C-42EE-9D91-572D1DEB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2026-09-17T08:51:00Z</dcterms:modified>
  <cp:category/>
</cp:coreProperties>
</file>